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F0256D" w:rsidRPr="00644979" w:rsidTr="003624CF">
        <w:trPr>
          <w:trHeight w:val="415"/>
        </w:trPr>
        <w:tc>
          <w:tcPr>
            <w:tcW w:w="4077" w:type="dxa"/>
            <w:vAlign w:val="center"/>
          </w:tcPr>
          <w:p w:rsidR="00F0256D" w:rsidRPr="00644979" w:rsidRDefault="006A41A1" w:rsidP="003624C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44979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F0256D" w:rsidRPr="00644979" w:rsidRDefault="00F0256D" w:rsidP="003624C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4497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F0256D" w:rsidRPr="00644979" w:rsidTr="003624CF">
        <w:trPr>
          <w:trHeight w:val="267"/>
        </w:trPr>
        <w:tc>
          <w:tcPr>
            <w:tcW w:w="4077" w:type="dxa"/>
            <w:vAlign w:val="center"/>
          </w:tcPr>
          <w:p w:rsidR="00F0256D" w:rsidRPr="00644979" w:rsidRDefault="00A27F36" w:rsidP="003624C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27F36">
              <w:rPr>
                <w:rFonts w:asciiTheme="majorHAnsi" w:hAnsiTheme="majorHAnsi" w:cstheme="majorHAnsi"/>
                <w:b/>
                <w:noProof/>
                <w:sz w:val="26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6.65pt;margin-top:14.1pt;width:109.5pt;height:0;z-index:251661312;mso-position-horizontal-relative:text;mso-position-vertical-relative:text" o:connectortype="straight"/>
              </w:pict>
            </w:r>
            <w:r w:rsidR="006A41A1" w:rsidRPr="00644979">
              <w:rPr>
                <w:rFonts w:asciiTheme="majorHAnsi" w:hAnsiTheme="majorHAnsi" w:cstheme="majorHAnsi"/>
                <w:b/>
                <w:sz w:val="26"/>
                <w:szCs w:val="28"/>
              </w:rPr>
              <w:t>ĐỘI CS ĐTTP VỀ KT-MT</w:t>
            </w:r>
          </w:p>
        </w:tc>
        <w:tc>
          <w:tcPr>
            <w:tcW w:w="6130" w:type="dxa"/>
            <w:vAlign w:val="center"/>
          </w:tcPr>
          <w:p w:rsidR="00F0256D" w:rsidRPr="00644979" w:rsidRDefault="00F0256D" w:rsidP="003624C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64497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F0256D" w:rsidRPr="00644979" w:rsidTr="003624CF">
        <w:trPr>
          <w:trHeight w:val="470"/>
        </w:trPr>
        <w:tc>
          <w:tcPr>
            <w:tcW w:w="4077" w:type="dxa"/>
            <w:vAlign w:val="center"/>
          </w:tcPr>
          <w:p w:rsidR="00F0256D" w:rsidRPr="00644979" w:rsidRDefault="00F0256D" w:rsidP="003624C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497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Số:      /PATHTV</w:t>
            </w:r>
          </w:p>
        </w:tc>
        <w:tc>
          <w:tcPr>
            <w:tcW w:w="6130" w:type="dxa"/>
            <w:vAlign w:val="center"/>
          </w:tcPr>
          <w:p w:rsidR="00F0256D" w:rsidRPr="00644979" w:rsidRDefault="00A27F36" w:rsidP="003624CF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A27F36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92.7pt;margin-top:-.4pt;width:109.5pt;height:.75pt;flip:y;z-index:251660288;mso-position-horizontal-relative:text;mso-position-vertical-relative:text" o:connectortype="straight"/>
              </w:pict>
            </w:r>
          </w:p>
          <w:p w:rsidR="00F0256D" w:rsidRPr="00644979" w:rsidRDefault="00F0256D" w:rsidP="003624CF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4497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Lục, </w:t>
            </w:r>
            <w:r w:rsidR="00644979" w:rsidRPr="00644979"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644979" w:rsidRPr="0064497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  <w:r w:rsidR="00644979" w:rsidRPr="00644979">
              <w:rPr>
                <w:rFonts w:asciiTheme="majorHAnsi" w:hAnsiTheme="majorHAnsi" w:cstheme="majorHAnsi"/>
                <w:sz w:val="28"/>
                <w:szCs w:val="28"/>
              </w:rPr>
              <w:t xml:space="preserve"> tháng </w:t>
            </w:r>
            <w:r w:rsidR="00644979" w:rsidRPr="0064497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</w:t>
            </w:r>
            <w:r w:rsidRPr="00644979">
              <w:rPr>
                <w:rFonts w:asciiTheme="majorHAnsi" w:hAnsiTheme="majorHAnsi" w:cstheme="majorHAnsi"/>
                <w:sz w:val="28"/>
                <w:szCs w:val="28"/>
              </w:rPr>
              <w:t xml:space="preserve"> năm 2016</w:t>
            </w:r>
          </w:p>
        </w:tc>
      </w:tr>
    </w:tbl>
    <w:p w:rsidR="009F1AAC" w:rsidRPr="00644979" w:rsidRDefault="00644979" w:rsidP="00644979">
      <w:pPr>
        <w:spacing w:before="240" w:after="24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44979">
        <w:rPr>
          <w:rFonts w:asciiTheme="majorHAnsi" w:hAnsiTheme="majorHAnsi" w:cstheme="majorHAnsi"/>
          <w:b/>
          <w:sz w:val="28"/>
          <w:szCs w:val="28"/>
        </w:rPr>
        <w:t>PHƯƠNG ÁN TIÊU HỦY TANG VẬT VI PHẠM HÀNH CHÍNH</w:t>
      </w:r>
    </w:p>
    <w:p w:rsidR="00F0256D" w:rsidRPr="00644979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Qua khảo sát khối lượng hàng hóa là </w:t>
      </w:r>
      <w:r w:rsidRPr="00E337A7">
        <w:rPr>
          <w:rFonts w:asciiTheme="majorHAnsi" w:hAnsiTheme="majorHAnsi" w:cstheme="majorHAnsi"/>
          <w:color w:val="000000"/>
          <w:sz w:val="28"/>
          <w:szCs w:val="28"/>
        </w:rPr>
        <w:t>hàng mỹ phẩm không có chứng từ chứng minh nguồn gốc xuất xứ, đội CS ĐTTP về Kinh Tế - Ma Túy đề xuất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phương án xử lý như sau:</w:t>
      </w:r>
    </w:p>
    <w:p w:rsidR="00F0256D" w:rsidRPr="00644979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</w:rPr>
        <w:t>Bước 1: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Tại trụ sở Công an huyện Bình Lục</w:t>
      </w:r>
    </w:p>
    <w:p w:rsidR="00F0256D" w:rsidRPr="00644979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Fonts w:asciiTheme="majorHAnsi" w:hAnsiTheme="majorHAnsi" w:cstheme="majorHAnsi"/>
          <w:color w:val="000000"/>
          <w:sz w:val="28"/>
          <w:szCs w:val="28"/>
        </w:rPr>
        <w:t>Kiểm tra danh mục, số lượng, chủng loại số hàng cần tiêu hủy ký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tên của đại diện Chủ hàng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và các cơ quan có liên quan.</w:t>
      </w:r>
    </w:p>
    <w:p w:rsidR="00F0256D" w:rsidRPr="00644979" w:rsidRDefault="00F0256D" w:rsidP="00644979">
      <w:pPr>
        <w:pStyle w:val="ListParagraph"/>
        <w:spacing w:after="0" w:line="312" w:lineRule="auto"/>
        <w:ind w:left="0" w:firstLine="720"/>
        <w:rPr>
          <w:rFonts w:asciiTheme="majorHAnsi" w:hAnsiTheme="majorHAnsi" w:cstheme="majorHAnsi"/>
          <w:sz w:val="28"/>
          <w:szCs w:val="28"/>
        </w:rPr>
      </w:pPr>
      <w:r w:rsidRPr="00644979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</w:rPr>
        <w:t>Bước 2: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 Chủ hàng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bàn giao lượng hàng hóa này cho 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hãng taxi tải AN DÂN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, hai bên ký tên trên “Biên bản giao nhận”. Sau đó, 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hãng taxi tải AN DÂN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sẽ vận chuyển lô hàng này đến </w:t>
      </w:r>
      <w:r w:rsidR="00644979" w:rsidRPr="00644979">
        <w:rPr>
          <w:rFonts w:asciiTheme="majorHAnsi" w:hAnsiTheme="majorHAnsi" w:cstheme="majorHAnsi"/>
          <w:sz w:val="28"/>
          <w:szCs w:val="28"/>
        </w:rPr>
        <w:t xml:space="preserve">Công ty </w:t>
      </w:r>
      <w:r w:rsidR="00644979" w:rsidRPr="001429FA">
        <w:rPr>
          <w:rFonts w:asciiTheme="majorHAnsi" w:hAnsiTheme="majorHAnsi" w:cstheme="majorHAnsi"/>
          <w:sz w:val="28"/>
          <w:szCs w:val="28"/>
        </w:rPr>
        <w:t>CP dịch vụ tang lễ Hoàng Long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– huyệ</w:t>
      </w:r>
      <w:r w:rsidR="00644979">
        <w:rPr>
          <w:rFonts w:asciiTheme="majorHAnsi" w:hAnsiTheme="majorHAnsi" w:cstheme="majorHAnsi"/>
          <w:color w:val="000000"/>
          <w:sz w:val="28"/>
          <w:szCs w:val="28"/>
        </w:rPr>
        <w:t>n M</w:t>
      </w:r>
      <w:r w:rsidR="00644979" w:rsidRPr="00644979">
        <w:rPr>
          <w:rFonts w:asciiTheme="majorHAnsi" w:hAnsiTheme="majorHAnsi" w:cstheme="majorHAnsi"/>
          <w:color w:val="000000"/>
          <w:sz w:val="28"/>
          <w:szCs w:val="28"/>
        </w:rPr>
        <w:t>ỹ</w:t>
      </w:r>
      <w:r w:rsidR="00644979">
        <w:rPr>
          <w:rFonts w:asciiTheme="majorHAnsi" w:hAnsiTheme="majorHAnsi" w:cstheme="majorHAnsi"/>
          <w:color w:val="000000"/>
          <w:sz w:val="28"/>
          <w:szCs w:val="28"/>
        </w:rPr>
        <w:t xml:space="preserve"> L</w:t>
      </w:r>
      <w:r w:rsidR="00644979" w:rsidRPr="00644979">
        <w:rPr>
          <w:rFonts w:asciiTheme="majorHAnsi" w:hAnsiTheme="majorHAnsi" w:cstheme="majorHAnsi"/>
          <w:color w:val="000000"/>
          <w:sz w:val="28"/>
          <w:szCs w:val="28"/>
        </w:rPr>
        <w:t>ộ</w:t>
      </w:r>
      <w:r w:rsidR="00644979">
        <w:rPr>
          <w:rFonts w:asciiTheme="majorHAnsi" w:hAnsiTheme="majorHAnsi" w:cstheme="majorHAnsi"/>
          <w:color w:val="000000"/>
          <w:sz w:val="28"/>
          <w:szCs w:val="28"/>
        </w:rPr>
        <w:t>c, tỉnh Nam Đ</w:t>
      </w:r>
      <w:r w:rsidR="00644979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ịnh. 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Đại diện 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hãng taxi tải AN DÂN, chủ hàng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 và các cơ quan có liên quan đi theo kiểm soát vận chuyển an toàn và chụp hình (nếu cần).</w:t>
      </w:r>
    </w:p>
    <w:p w:rsidR="00F0256D" w:rsidRPr="00644979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</w:rPr>
        <w:t>Bước 3:</w:t>
      </w:r>
      <w:r w:rsidRPr="00644979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Tại </w:t>
      </w:r>
      <w:r w:rsidR="00644979" w:rsidRPr="00644979">
        <w:rPr>
          <w:rFonts w:asciiTheme="majorHAnsi" w:hAnsiTheme="majorHAnsi" w:cstheme="majorHAnsi"/>
          <w:sz w:val="28"/>
          <w:szCs w:val="28"/>
        </w:rPr>
        <w:t xml:space="preserve">Công ty </w:t>
      </w:r>
      <w:r w:rsidR="00644979" w:rsidRPr="001429FA">
        <w:rPr>
          <w:rFonts w:asciiTheme="majorHAnsi" w:hAnsiTheme="majorHAnsi" w:cstheme="majorHAnsi"/>
          <w:sz w:val="28"/>
          <w:szCs w:val="28"/>
        </w:rPr>
        <w:t>CP dịch vụ tang lễ Hoàng Long</w:t>
      </w:r>
      <w:r w:rsidR="00644979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Hãng taxi tải AN DÂN</w:t>
      </w:r>
      <w:r w:rsidR="006A41A1" w:rsidRPr="00644979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bàn giao cho</w:t>
      </w:r>
      <w:r w:rsidRPr="00644979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644979" w:rsidRPr="00644979">
        <w:rPr>
          <w:rFonts w:asciiTheme="majorHAnsi" w:hAnsiTheme="majorHAnsi" w:cstheme="majorHAnsi"/>
          <w:sz w:val="28"/>
          <w:szCs w:val="28"/>
        </w:rPr>
        <w:t xml:space="preserve">Công ty </w:t>
      </w:r>
      <w:r w:rsidR="00644979" w:rsidRPr="001429FA">
        <w:rPr>
          <w:rFonts w:asciiTheme="majorHAnsi" w:hAnsiTheme="majorHAnsi" w:cstheme="majorHAnsi"/>
          <w:sz w:val="28"/>
          <w:szCs w:val="28"/>
        </w:rPr>
        <w:t>CP dịch vụ tang lễ Hoàng Long</w:t>
      </w:r>
      <w:r w:rsidR="00644979" w:rsidRPr="00644979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xác định khối lượng và xử lý toàn bộ lô hàng bằng phương pháp đốt ở nhiệt độ trên 1.000</w:t>
      </w:r>
      <w:r w:rsidRPr="00644979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o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C có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hệ thống xử lý khí thải và chất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thải</w:t>
      </w:r>
      <w:r w:rsidR="00644979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Quá trình xử 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lý có sự chứng kiến của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chủ hàng và các cơ quan có liên quan 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và </w:t>
      </w:r>
      <w:r w:rsidR="00644979" w:rsidRPr="00644979">
        <w:rPr>
          <w:rFonts w:asciiTheme="majorHAnsi" w:hAnsiTheme="majorHAnsi" w:cstheme="majorHAnsi"/>
          <w:sz w:val="28"/>
          <w:szCs w:val="28"/>
        </w:rPr>
        <w:t xml:space="preserve">Công ty </w:t>
      </w:r>
      <w:r w:rsidR="00644979" w:rsidRPr="001429FA">
        <w:rPr>
          <w:rFonts w:asciiTheme="majorHAnsi" w:hAnsiTheme="majorHAnsi" w:cstheme="majorHAnsi"/>
          <w:sz w:val="28"/>
          <w:szCs w:val="28"/>
        </w:rPr>
        <w:t>CP dịch vụ tang lễ Hoàng Long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. Biên bản tiêu hủy hàng hóa có ký tên của các đại diện.</w:t>
      </w:r>
    </w:p>
    <w:p w:rsidR="00F0256D" w:rsidRPr="00644979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Fonts w:asciiTheme="majorHAnsi" w:hAnsiTheme="majorHAnsi" w:cstheme="majorHAnsi"/>
          <w:color w:val="000000"/>
          <w:sz w:val="28"/>
          <w:szCs w:val="28"/>
        </w:rPr>
        <w:t>Tro thải phát sinh sau khi đốt được thu gom và đưa vào hố chôn lấp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của công ty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an toàn.</w:t>
      </w:r>
    </w:p>
    <w:p w:rsidR="00F0256D" w:rsidRPr="00644979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Fonts w:asciiTheme="majorHAnsi" w:hAnsiTheme="majorHAnsi" w:cstheme="majorHAnsi"/>
          <w:color w:val="000000"/>
          <w:sz w:val="28"/>
          <w:szCs w:val="28"/>
        </w:rPr>
        <w:t>Cả 3 bước trên được thực hiện trong ngày.</w:t>
      </w:r>
    </w:p>
    <w:p w:rsidR="00F0256D" w:rsidRPr="00E337A7" w:rsidRDefault="00F0256D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644979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</w:rPr>
        <w:t>Bước 4:</w:t>
      </w:r>
      <w:r w:rsidRPr="00644979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="003624CF" w:rsidRPr="00644979">
        <w:rPr>
          <w:rFonts w:asciiTheme="majorHAnsi" w:hAnsiTheme="majorHAnsi" w:cstheme="majorHAnsi"/>
          <w:sz w:val="28"/>
          <w:szCs w:val="28"/>
        </w:rPr>
        <w:t xml:space="preserve">Công ty </w:t>
      </w:r>
      <w:r w:rsidR="003624CF" w:rsidRPr="001429FA">
        <w:rPr>
          <w:rFonts w:asciiTheme="majorHAnsi" w:hAnsiTheme="majorHAnsi" w:cstheme="majorHAnsi"/>
          <w:sz w:val="28"/>
          <w:szCs w:val="28"/>
        </w:rPr>
        <w:t>CP dịch vụ tang lễ Hoàng Long</w:t>
      </w:r>
      <w:r w:rsidR="003624CF"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>hoàn tất vi</w:t>
      </w:r>
      <w:r w:rsidR="006A41A1" w:rsidRPr="00644979">
        <w:rPr>
          <w:rFonts w:asciiTheme="majorHAnsi" w:hAnsiTheme="majorHAnsi" w:cstheme="majorHAnsi"/>
          <w:color w:val="000000"/>
          <w:sz w:val="28"/>
          <w:szCs w:val="28"/>
        </w:rPr>
        <w:t>ệc tiêu hủy và cung cấp cho hội đồng tiêu hủy</w:t>
      </w:r>
      <w:r w:rsidRPr="00644979">
        <w:rPr>
          <w:rFonts w:asciiTheme="majorHAnsi" w:hAnsiTheme="majorHAnsi" w:cstheme="majorHAnsi"/>
          <w:color w:val="000000"/>
          <w:sz w:val="28"/>
          <w:szCs w:val="28"/>
        </w:rPr>
        <w:t xml:space="preserve"> biên bản tiêu hủy hàng hóa và Thông báo hoàn tất việc xử lý hàng hóa.</w:t>
      </w:r>
    </w:p>
    <w:p w:rsidR="006A41A1" w:rsidRPr="00E337A7" w:rsidRDefault="006A41A1" w:rsidP="00644979">
      <w:pPr>
        <w:pStyle w:val="NormalWeb"/>
        <w:spacing w:before="0" w:beforeAutospacing="0" w:after="0" w:afterAutospacing="0" w:line="312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337A7">
        <w:rPr>
          <w:rFonts w:asciiTheme="majorHAnsi" w:hAnsiTheme="majorHAnsi" w:cstheme="majorHAnsi"/>
          <w:color w:val="000000"/>
          <w:sz w:val="28"/>
          <w:szCs w:val="28"/>
        </w:rPr>
        <w:t xml:space="preserve">Trên đây là phương án tiêu hủy tang vật vi phạm hành chính theo quyết định số </w:t>
      </w:r>
      <w:r w:rsidRPr="00644979">
        <w:rPr>
          <w:rFonts w:asciiTheme="majorHAnsi" w:hAnsiTheme="majorHAnsi" w:cstheme="majorHAnsi"/>
          <w:sz w:val="28"/>
          <w:szCs w:val="28"/>
        </w:rPr>
        <w:t xml:space="preserve">số 01/QĐTHTV ngày 14/12/2016 </w:t>
      </w:r>
      <w:r w:rsidRPr="00E337A7">
        <w:rPr>
          <w:rFonts w:asciiTheme="majorHAnsi" w:hAnsiTheme="majorHAnsi" w:cstheme="majorHAnsi"/>
          <w:sz w:val="28"/>
          <w:szCs w:val="28"/>
        </w:rPr>
        <w:t>. Đội CS ĐTTP về Kinh Tế -  M a túy báo cáo đồng chí Trưởng Công an huyện để xin ý kiến chỉ đạo./.</w:t>
      </w:r>
    </w:p>
    <w:p w:rsidR="006A41A1" w:rsidRPr="00E337A7" w:rsidRDefault="006A41A1" w:rsidP="00F0256D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F0256D" w:rsidRPr="00644979" w:rsidRDefault="00F0256D">
      <w:pPr>
        <w:rPr>
          <w:rFonts w:asciiTheme="majorHAnsi" w:hAnsiTheme="majorHAnsi" w:cstheme="majorHAnsi"/>
        </w:rPr>
      </w:pPr>
    </w:p>
    <w:sectPr w:rsidR="00F0256D" w:rsidRPr="00644979" w:rsidSect="00E337A7">
      <w:pgSz w:w="11906" w:h="16838"/>
      <w:pgMar w:top="709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256D"/>
    <w:rsid w:val="00137999"/>
    <w:rsid w:val="002B31AE"/>
    <w:rsid w:val="003624CF"/>
    <w:rsid w:val="00644979"/>
    <w:rsid w:val="006A41A1"/>
    <w:rsid w:val="009F1AAC"/>
    <w:rsid w:val="00A27F36"/>
    <w:rsid w:val="00E337A7"/>
    <w:rsid w:val="00E456C5"/>
    <w:rsid w:val="00F0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0256D"/>
    <w:rPr>
      <w:b/>
      <w:bCs/>
    </w:rPr>
  </w:style>
  <w:style w:type="character" w:customStyle="1" w:styleId="apple-converted-space">
    <w:name w:val="apple-converted-space"/>
    <w:basedOn w:val="DefaultParagraphFont"/>
    <w:rsid w:val="00F0256D"/>
  </w:style>
  <w:style w:type="table" w:styleId="TableGrid">
    <w:name w:val="Table Grid"/>
    <w:basedOn w:val="TableNormal"/>
    <w:uiPriority w:val="59"/>
    <w:rsid w:val="00F0256D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6</cp:revision>
  <cp:lastPrinted>2016-12-13T00:42:00Z</cp:lastPrinted>
  <dcterms:created xsi:type="dcterms:W3CDTF">2016-12-12T14:56:00Z</dcterms:created>
  <dcterms:modified xsi:type="dcterms:W3CDTF">2016-12-13T01:16:00Z</dcterms:modified>
</cp:coreProperties>
</file>